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7140"/>
        </w:tabs>
        <w:adjustRightInd w:val="0"/>
        <w:snapToGrid w:val="0"/>
        <w:spacing w:before="0" w:after="0" w:line="276" w:lineRule="auto"/>
        <w:jc w:val="center"/>
        <w:rPr>
          <w:rFonts w:ascii="宋体" w:hAnsi="宋体" w:cs="宋体"/>
          <w:color w:val="000000" w:themeColor="text1"/>
          <w:spacing w:val="-2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pacing w:val="-26"/>
          <w14:textFill>
            <w14:solidFill>
              <w14:schemeClr w14:val="tx1"/>
            </w14:solidFill>
          </w14:textFill>
        </w:rPr>
        <w:t>第六届广东青少年科技模型大赛 万格·乐博士杯儿童创意建构赛</w:t>
      </w:r>
    </w:p>
    <w:p>
      <w:pPr>
        <w:pStyle w:val="2"/>
        <w:tabs>
          <w:tab w:val="left" w:pos="7140"/>
        </w:tabs>
        <w:adjustRightInd w:val="0"/>
        <w:snapToGrid w:val="0"/>
        <w:spacing w:before="0" w:after="0" w:line="276" w:lineRule="auto"/>
        <w:jc w:val="center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小学组任务挑战赛（丛林挑战）比赛规则</w:t>
      </w:r>
    </w:p>
    <w:p>
      <w:pPr>
        <w:rPr>
          <w:rFonts w:ascii="宋体" w:hAnsi="宋体" w:cs="宋体"/>
          <w:color w:val="000000" w:themeColor="text1"/>
          <w:spacing w:val="-26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cs="宋体"/>
          <w:color w:val="000000" w:themeColor="text1"/>
          <w:spacing w:val="-26"/>
          <w14:textFill>
            <w14:solidFill>
              <w14:schemeClr w14:val="tx1"/>
            </w14:solidFill>
          </w14:textFill>
        </w:rPr>
      </w:pPr>
    </w:p>
    <w:p>
      <w:pPr>
        <w:pStyle w:val="2"/>
        <w:adjustRightInd w:val="0"/>
        <w:snapToGrid w:val="0"/>
        <w:spacing w:before="0" w:after="0" w:line="360" w:lineRule="auto"/>
        <w:ind w:firstLine="480" w:firstLineChars="200"/>
        <w:rPr>
          <w:rFonts w:ascii="黑体" w:hAnsi="黑体" w:eastAsia="黑体" w:cs="黑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1.比赛简介</w:t>
      </w:r>
    </w:p>
    <w:p>
      <w:pPr>
        <w:pStyle w:val="2"/>
        <w:adjustRightInd w:val="0"/>
        <w:snapToGrid w:val="0"/>
        <w:spacing w:before="0" w:after="0" w:line="360" w:lineRule="auto"/>
        <w:ind w:firstLine="480" w:firstLineChars="200"/>
        <w:rPr>
          <w:rFonts w:ascii="宋体" w:hAnsi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比赛是第六届广东青少年科技模型大赛——万格·乐博士杯儿童创意建构赛的其中一个赛项（以下简称本赛项），主题为“丛林挑战”。本赛项要求参赛选手使用相关材料，发挥自己的想象力，搭建动力小车，克服重重困难，穿越荒野丛林，完成各项丛林挑战任务。</w:t>
      </w:r>
    </w:p>
    <w:p>
      <w:pPr>
        <w:adjustRightInd w:val="0"/>
        <w:snapToGrid w:val="0"/>
        <w:spacing w:line="360" w:lineRule="auto"/>
        <w:ind w:firstLine="241" w:firstLineChars="100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2.组队方式</w:t>
      </w:r>
    </w:p>
    <w:p>
      <w:pPr>
        <w:pStyle w:val="2"/>
        <w:adjustRightInd w:val="0"/>
        <w:snapToGrid w:val="0"/>
        <w:spacing w:before="0" w:after="0" w:line="360" w:lineRule="auto"/>
        <w:ind w:firstLine="480" w:firstLineChars="200"/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本赛项由广东乐博士教育装备有限公司（简称乐博士公司）提供技术支持服务。竞赛以团队方式完成，每支参赛队由2名学生和1-2名辅导老师组成。学生须是比赛日时在读1-3年级的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学生。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3.比赛规则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3.1材料要求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3.1.1本赛项搭建的动力小车所需材料为塑胶拼插类器材，不限品牌厂家，不限数量品种，可参照乐博士公司</w:t>
      </w:r>
      <w:r>
        <w:rPr>
          <w:rFonts w:hint="eastAsia" w:ascii="宋体" w:hAnsi="宋体" w:cs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LBS1203</w:t>
      </w:r>
      <w:r>
        <w:rPr>
          <w:rFonts w:hint="eastAsia" w:ascii="宋体" w:hAnsi="宋体" w:cs="宋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/KJ021</w:t>
      </w:r>
      <w:r>
        <w:rPr>
          <w:rFonts w:hint="eastAsia" w:ascii="宋体" w:hAnsi="宋体" w:cs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套装。为确保赛事公平，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为确赛事公平，主办单位统一提供普通电机、电池盒和连接线（ 图1，赛后收回），其他材料和6节以上5号1.5V干电池均由各参赛队自带。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instrText xml:space="preserve">INCLUDEPICTURE \d "C:\\Users\\admin\\AppData\\Roaming\\Tencent\\Users\\646790495\\QQ\\WinTemp\\RichOle\\ERZKMK$_PY(C7W{{6[6{Q4U.png" \* MERGEFORMATINET </w:instrText>
      </w:r>
      <w:r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72100" cy="129540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adjustRightInd w:val="0"/>
        <w:snapToGrid w:val="0"/>
        <w:spacing w:line="360" w:lineRule="auto"/>
        <w:jc w:val="center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图1主办单位提供器材图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3.1.2搭建的动力小车只能包含1个电机和1个电池盒，不能使用其他类型的电子模块设备。比赛前，动力小车的垂直投影长</w:t>
      </w:r>
      <w:r>
        <w:rPr>
          <w:rFonts w:hint="eastAsia" w:ascii="宋体" w:hAnsi="宋体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20CM-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30CM，宽</w:t>
      </w:r>
      <w:r>
        <w:rPr>
          <w:rFonts w:hint="eastAsia" w:ascii="宋体" w:hAnsi="宋体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10CM-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20CM，</w:t>
      </w:r>
      <w:r>
        <w:rPr>
          <w:rFonts w:hint="eastAsia" w:ascii="宋体" w:hAnsi="宋体" w:cs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比赛后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小车可超出此尺寸限制。参赛队允许对动力小车进行个性化装饰，增强表现力，但装饰后的小车尺寸仍需按以上规定。</w:t>
      </w:r>
    </w:p>
    <w:p>
      <w:pPr>
        <w:tabs>
          <w:tab w:val="left" w:pos="420"/>
        </w:tabs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3.1.3参赛器材中不能含有说明书、胶水、胶布、螺丝、通讯设备等违规违物品。比赛前，参赛队自备的器材中，除电机、电池盒、电池等之外，其他</w:t>
      </w: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器材必须是独立的散件，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不得</w:t>
      </w:r>
      <w:r>
        <w:rPr>
          <w:rFonts w:hint="eastAsia"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提前组装，或使用商用完整套件。</w:t>
      </w: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所有零件不得以焊接、铆接、粘接等方式组成部件，结构件为独立的长方体（含曲轴状）、圆柱体（含齿轮状、锥状）、正方体、带状体、异型体等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420"/>
        </w:tabs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3.1.4为了安全，动力小车所使用的直流电源电压不得超过9V，</w:t>
      </w:r>
      <w:bookmarkStart w:id="0" w:name="page9"/>
      <w:bookmarkEnd w:id="0"/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不允许使用有可能损坏竞赛场地的危险元件。动力小车必须设计成只用一次操作（如按一个按钮或拨一个开关）就能启动运行，不得使用遥控装置。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3.2比赛场地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3.2.1 赛场规格：赛场尺寸为总长3200mm×总宽1800mm，任务跑道宽度400mm，详见图2。场地内设置“圆坡”“龙门”“巨石”</w:t>
      </w:r>
      <w:r>
        <w:rPr>
          <w:rFonts w:hint="eastAsia" w:ascii="宋体" w:hAnsi="宋体" w:cs="宋体"/>
          <w:color w:val="000000" w:themeColor="text1"/>
          <w:sz w:val="24"/>
          <w:highlight w:val="none"/>
          <w:lang w:eastAsia="zh-CN"/>
          <w14:textFill>
            <w14:solidFill>
              <w14:schemeClr w14:val="tx1"/>
            </w14:solidFill>
          </w14:textFill>
        </w:rPr>
        <w:t>“草坪”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“减速带”“火山”“缓冲块”等任务道具。</w:t>
      </w: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color w:val="C00000"/>
          <w:sz w:val="24"/>
          <w:lang w:eastAsia="zh-CN"/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962910"/>
            <wp:effectExtent l="0" t="0" r="10160" b="8890"/>
            <wp:docPr id="5" name="图片 5" descr="0338bdac408c14aa5d533d03d855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38bdac408c14aa5d533d03d8555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图2 比赛场地示意图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比赛场地为水泥、瓷片或木地板、硬塑胶等硬地板，边线用电工胶布黏贴制成，尺寸允许有±5mm的误差，场地以现场最后设计为准且整个比赛过程中不再变化。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3.2.2赛场环境：动力小车比赛场地环境为冷光源、低照度、无磁场干扰。但由于一般赛场环境的不确定因素较多，例如，场地表面可能有纹路和不平整，边框上有裂缝，光照条件有变化等，参赛队在设计小车时应考虑各种应对措施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3.2.3赛场要求：赛场分为搭建区和比赛区，各参赛队必须在比赛所指定的搭建区（每队一个位置）进行动力小车的拼装和调试。除选手、裁判和工作人员外，其他人员不得进入搭建区和比赛区。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比赛过程中，选手须听从裁判员和工作人员的安排，场内外任何人员不得再向选手提供影响比赛成绩的任何帮助。选手遇到问题，可向裁判或工作人员提出。</w:t>
      </w:r>
    </w:p>
    <w:p>
      <w:pPr>
        <w:pStyle w:val="2"/>
        <w:adjustRightInd w:val="0"/>
        <w:snapToGrid w:val="0"/>
        <w:spacing w:before="0" w:after="0" w:line="360" w:lineRule="auto"/>
        <w:ind w:firstLine="480" w:firstLineChars="200"/>
        <w:rPr>
          <w:rFonts w:ascii="黑体" w:hAnsi="黑体" w:eastAsia="黑体" w:cs="黑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4.任务说明</w:t>
      </w:r>
    </w:p>
    <w:p>
      <w:pPr>
        <w:pStyle w:val="9"/>
        <w:adjustRightInd w:val="0"/>
        <w:snapToGrid w:val="0"/>
        <w:spacing w:line="360" w:lineRule="auto"/>
        <w:ind w:firstLine="48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本赛项任务分为动力小车拼装和动力小车竞技两大部分。</w:t>
      </w:r>
    </w:p>
    <w:p>
      <w:pPr>
        <w:pStyle w:val="9"/>
        <w:adjustRightInd w:val="0"/>
        <w:snapToGrid w:val="0"/>
        <w:spacing w:line="360" w:lineRule="auto"/>
        <w:ind w:firstLine="482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4.1 动力小车拼装：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参赛队在搭建区按照比赛的任务和要求，在60分钟内完成动力小车的拼装和调试。拼装调试时间结束后，将动力小车放置在裁判指定的地方封存，直至第一轮比赛前选手不得触碰和调整动力小车。</w:t>
      </w:r>
    </w:p>
    <w:p>
      <w:pPr>
        <w:pStyle w:val="9"/>
        <w:adjustRightInd w:val="0"/>
        <w:snapToGrid w:val="0"/>
        <w:spacing w:line="360" w:lineRule="auto"/>
        <w:ind w:firstLine="482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4.2动力小车竞技：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动力小车拼装完成后，参赛队在规定时间内，动力小车要从起点区出发，完成一系列丛林挑战任务后，并抵达终点区。</w:t>
      </w:r>
    </w:p>
    <w:p>
      <w:pPr>
        <w:pStyle w:val="9"/>
        <w:adjustRightInd w:val="0"/>
        <w:snapToGrid w:val="0"/>
        <w:spacing w:line="360" w:lineRule="auto"/>
        <w:ind w:firstLine="48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4.2.1（赛道1）起点区到改装区1：动力小车由起点内出发，在赛道1先越过“圆坡”，然后穿过“龙门”，最后将“巨石”推动到改装区1内。小车完成推动“巨石”任务时，允许小车越出改装区1的底线。</w:t>
      </w:r>
    </w:p>
    <w:p>
      <w:pPr>
        <w:pStyle w:val="9"/>
        <w:adjustRightInd w:val="0"/>
        <w:snapToGrid w:val="0"/>
        <w:spacing w:line="360" w:lineRule="auto"/>
        <w:ind w:firstLine="480" w:firstLineChars="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备注：当动力小车的正投影部分进入改装区1后，选手可触碰小车，并在改装区1进行改装，以便完成赛道2的各项任务。动力小车改装完成后，再次从改装区1出发。</w:t>
      </w:r>
    </w:p>
    <w:p>
      <w:pPr>
        <w:pStyle w:val="9"/>
        <w:adjustRightInd w:val="0"/>
        <w:snapToGrid w:val="0"/>
        <w:spacing w:line="360" w:lineRule="auto"/>
        <w:ind w:firstLine="48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jc w:val="left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91760" cy="1727835"/>
            <wp:effectExtent l="0" t="0" r="8890" b="571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图3  赛道1道具示意图</w:t>
      </w:r>
    </w:p>
    <w:p>
      <w:pPr>
        <w:pStyle w:val="9"/>
        <w:adjustRightInd w:val="0"/>
        <w:snapToGrid w:val="0"/>
        <w:spacing w:line="360" w:lineRule="auto"/>
        <w:ind w:firstLine="480" w:firstLineChars="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4.2.2（赛道2）改装区1到改装区2：动力小车从改装区1出发，在赛道2</w:t>
      </w:r>
      <w:r>
        <w:rPr>
          <w:rFonts w:hint="eastAsia"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安全通过草坪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，最后前行直至改装区2。</w:t>
      </w:r>
    </w:p>
    <w:p>
      <w:pPr>
        <w:pStyle w:val="9"/>
        <w:adjustRightInd w:val="0"/>
        <w:snapToGrid w:val="0"/>
        <w:spacing w:line="360" w:lineRule="auto"/>
        <w:ind w:firstLine="480" w:firstLineChars="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备注：当动力小车的正投影部分进入改装区2后，选手可触碰小车，并在改装区2进行改装，以便完成赛道3的各项任务。动力小车改装完成后，再次从改装区2出发。</w:t>
      </w:r>
    </w:p>
    <w:p>
      <w:pPr>
        <w:pStyle w:val="9"/>
        <w:adjustRightInd w:val="0"/>
        <w:snapToGrid w:val="0"/>
        <w:spacing w:line="360" w:lineRule="auto"/>
        <w:ind w:firstLine="480" w:firstLineChars="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4.2.3（赛道3）改装区2到终点：动力小车在赛道3后先穿过“减速带”，随后登上斜坡，跨过斜坡之间的间隙，完成飞跃“火山”，最后小车接触到终点区内的缓冲块，即视作抵达终点，比赛结束。</w:t>
      </w:r>
    </w:p>
    <w:p>
      <w:pPr>
        <w:pStyle w:val="9"/>
        <w:adjustRightInd w:val="0"/>
        <w:snapToGrid w:val="0"/>
        <w:spacing w:line="360" w:lineRule="auto"/>
        <w:ind w:firstLine="480" w:firstLineChars="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“减速带”为70cm</w:t>
      </w:r>
      <w:r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×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40cm的长方形区域，被9条分割线平均分为10块，从开始往终点方向编号为1-9（详见图3），并随机摆放普通铅笔作为减速装置。赛前，裁判长随机选取1名参赛学生，随机抽取6条分割线摆放铅笔，另有3条分割线不摆放铅笔。</w:t>
      </w:r>
    </w:p>
    <w:p>
      <w:pPr>
        <w:pStyle w:val="9"/>
        <w:adjustRightInd w:val="0"/>
        <w:snapToGrid w:val="0"/>
        <w:spacing w:line="360" w:lineRule="auto"/>
        <w:ind w:firstLine="480" w:firstLineChars="0"/>
        <w:jc w:val="left"/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“缓冲块”材料为普通塑料杯，单个杯子高约14.5cm 重约20克，4个杯子垒成1叠，4叠并排摆放。</w:t>
      </w:r>
    </w:p>
    <w:p>
      <w:pPr>
        <w:pStyle w:val="9"/>
        <w:adjustRightInd w:val="0"/>
        <w:snapToGrid w:val="0"/>
        <w:spacing w:line="360" w:lineRule="auto"/>
        <w:ind w:firstLine="480" w:firstLineChars="0"/>
        <w:jc w:val="left"/>
        <w:rPr>
          <w:rFonts w:hint="eastAsia" w:ascii="宋体" w:hAnsi="宋体" w:eastAsia="宋体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32840" cy="879475"/>
            <wp:effectExtent l="0" t="0" r="10160" b="15875"/>
            <wp:docPr id="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36090" cy="816610"/>
            <wp:effectExtent l="0" t="0" r="1651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36395" cy="842010"/>
            <wp:effectExtent l="0" t="0" r="1905" b="1524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图4  赛道</w:t>
      </w:r>
      <w:r>
        <w:rPr>
          <w:rFonts w:hint="eastAsia" w:ascii="宋体" w:hAnsi="宋体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道具</w:t>
      </w:r>
      <w:r>
        <w:rPr>
          <w:rFonts w:hint="eastAsia"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尺寸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示意图</w:t>
      </w:r>
    </w:p>
    <w:p>
      <w:pPr>
        <w:pStyle w:val="2"/>
        <w:keepNext w:val="0"/>
        <w:keepLines w:val="0"/>
        <w:adjustRightInd w:val="0"/>
        <w:snapToGrid w:val="0"/>
        <w:spacing w:before="0" w:after="0" w:line="360" w:lineRule="auto"/>
        <w:ind w:firstLine="482" w:firstLineChars="200"/>
        <w:rPr>
          <w:rFonts w:ascii="宋体" w:hAnsi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4.3任务道具说明：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动力小车完成“圆坡”“龙门”“巨石” 等5项任务，赛场所用道具基本按如下标准制作，长宽厚等尺寸在制作时可能会有微小误差。</w:t>
      </w:r>
    </w:p>
    <w:tbl>
      <w:tblPr>
        <w:tblStyle w:val="7"/>
        <w:tblW w:w="876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9"/>
        <w:gridCol w:w="780"/>
        <w:gridCol w:w="2085"/>
        <w:gridCol w:w="2235"/>
        <w:gridCol w:w="266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材料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22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标识解释</w:t>
            </w:r>
          </w:p>
        </w:tc>
        <w:tc>
          <w:tcPr>
            <w:tcW w:w="266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参考图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5" w:hRule="atLeast"/>
          <w:jc w:val="center"/>
        </w:trPr>
        <w:tc>
          <w:tcPr>
            <w:tcW w:w="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圆坡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PVC管</w:t>
            </w:r>
          </w:p>
        </w:tc>
        <w:tc>
          <w:tcPr>
            <w:tcW w:w="2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“圆坡”由直径20cm的PVC管切成1/4弧面，弧面高约3.5cm，底面长约14cm</w:t>
            </w:r>
          </w:p>
        </w:tc>
        <w:tc>
          <w:tcPr>
            <w:tcW w:w="22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68425" cy="751840"/>
                  <wp:effectExtent l="0" t="0" r="3175" b="10160"/>
                  <wp:docPr id="26" name="图片 26" descr="圆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圆坡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t="22784" b="22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侧面标识图</w:t>
            </w:r>
          </w:p>
        </w:tc>
        <w:tc>
          <w:tcPr>
            <w:tcW w:w="26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36370" cy="1075055"/>
                  <wp:effectExtent l="0" t="0" r="11430" b="10795"/>
                  <wp:docPr id="28" name="图片 28" descr="3543513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54351325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龙门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KT板或木板</w:t>
            </w:r>
          </w:p>
        </w:tc>
        <w:tc>
          <w:tcPr>
            <w:tcW w:w="2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“龙门”由KT板或木板制成，长、高、厚和内宽为40cm</w:t>
            </w:r>
            <w:r>
              <w:rPr>
                <w:rFonts w:ascii="Arial" w:hAnsi="Arial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20cm</w:t>
            </w:r>
            <w:r>
              <w:rPr>
                <w:rFonts w:ascii="Arial" w:hAnsi="Arial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10cm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30cm</w:t>
            </w:r>
          </w:p>
        </w:tc>
        <w:tc>
          <w:tcPr>
            <w:tcW w:w="22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78255" cy="767080"/>
                  <wp:effectExtent l="0" t="0" r="17145" b="13970"/>
                  <wp:docPr id="29" name="图片 29" descr="龙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龙门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侧面标识图</w:t>
            </w:r>
          </w:p>
        </w:tc>
        <w:tc>
          <w:tcPr>
            <w:tcW w:w="26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43355" cy="1082040"/>
                  <wp:effectExtent l="0" t="0" r="4445" b="3810"/>
                  <wp:docPr id="39" name="图片 39" descr="龙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龙门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5" w:hRule="atLeast"/>
          <w:jc w:val="center"/>
        </w:trPr>
        <w:tc>
          <w:tcPr>
            <w:tcW w:w="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巨石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纸盒或木板</w:t>
            </w:r>
          </w:p>
        </w:tc>
        <w:tc>
          <w:tcPr>
            <w:tcW w:w="2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“巨石”长宽高为20cm</w:t>
            </w:r>
            <w:r>
              <w:rPr>
                <w:rFonts w:ascii="Arial" w:hAnsi="Arial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20cm</w:t>
            </w:r>
            <w:r>
              <w:rPr>
                <w:rFonts w:ascii="Arial" w:hAnsi="Arial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8.5cm，重约0.9±0.1kg，表面较为光滑</w:t>
            </w:r>
          </w:p>
        </w:tc>
        <w:tc>
          <w:tcPr>
            <w:tcW w:w="22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92530" cy="1192530"/>
                  <wp:effectExtent l="0" t="0" r="7620" b="7620"/>
                  <wp:docPr id="20" name="图片 3" descr="微信图片_2018032116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微信图片_201803211612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61110" cy="1073785"/>
                  <wp:effectExtent l="0" t="0" r="15240" b="12065"/>
                  <wp:docPr id="21" name="图片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t="7584" b="7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5" w:hRule="atLeast"/>
          <w:jc w:val="center"/>
        </w:trPr>
        <w:tc>
          <w:tcPr>
            <w:tcW w:w="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草坪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仿真植物墙草坪产品</w:t>
            </w:r>
          </w:p>
        </w:tc>
        <w:tc>
          <w:tcPr>
            <w:tcW w:w="2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both"/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eastAsia="zh-CN"/>
              </w:rPr>
              <w:t>草坪为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30cm*30cm大小的正方形，草（秧苗）高度为4cm</w:t>
            </w:r>
          </w:p>
        </w:tc>
        <w:tc>
          <w:tcPr>
            <w:tcW w:w="22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81430" cy="1285875"/>
                  <wp:effectExtent l="0" t="0" r="13970" b="9525"/>
                  <wp:docPr id="12" name="图片 12" descr="154865998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548659984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2" w:name="_GoBack"/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94790" cy="1163955"/>
                  <wp:effectExtent l="0" t="0" r="10160" b="17145"/>
                  <wp:docPr id="15" name="图片 15" descr="C:\Users\Administrator\Desktop\草坪.jpg草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Administrator\Desktop\草坪.jpg草坪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4" w:hRule="atLeast"/>
          <w:jc w:val="center"/>
        </w:trPr>
        <w:tc>
          <w:tcPr>
            <w:tcW w:w="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减速带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铅笔</w:t>
            </w:r>
          </w:p>
        </w:tc>
        <w:tc>
          <w:tcPr>
            <w:tcW w:w="2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“减速带”为70cm</w:t>
            </w:r>
            <w:r>
              <w:rPr>
                <w:rFonts w:ascii="Arial" w:hAnsi="Arial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40cm区域，平均分布9条分割线，随机在6条线上摆放铅笔</w:t>
            </w:r>
          </w:p>
        </w:tc>
        <w:tc>
          <w:tcPr>
            <w:tcW w:w="22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32840" cy="879475"/>
                  <wp:effectExtent l="0" t="0" r="10160" b="15875"/>
                  <wp:docPr id="40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42720" cy="802005"/>
                  <wp:effectExtent l="0" t="0" r="5080" b="17145"/>
                  <wp:docPr id="3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" w:hRule="atLeast"/>
          <w:jc w:val="center"/>
        </w:trPr>
        <w:tc>
          <w:tcPr>
            <w:tcW w:w="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跨越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火山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A板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木板</w:t>
            </w:r>
          </w:p>
        </w:tc>
        <w:tc>
          <w:tcPr>
            <w:tcW w:w="2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直角三角形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斜坡面长度45cm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斜坡宽度40cm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斜坡高度10cm</w:t>
            </w:r>
          </w:p>
        </w:tc>
        <w:tc>
          <w:tcPr>
            <w:tcW w:w="22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81430" cy="602615"/>
                  <wp:effectExtent l="0" t="0" r="13970" b="698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侧面标识图</w:t>
            </w:r>
          </w:p>
        </w:tc>
        <w:tc>
          <w:tcPr>
            <w:tcW w:w="26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66190" cy="985520"/>
                  <wp:effectExtent l="0" t="0" r="10160" b="5080"/>
                  <wp:docPr id="18" name="图片 18" descr="斜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斜坡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 t="13476" r="48794" b="14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djustRightInd w:val="0"/>
              <w:snapToGrid w:val="0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跨越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火山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B板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木板</w:t>
            </w:r>
          </w:p>
        </w:tc>
        <w:tc>
          <w:tcPr>
            <w:tcW w:w="2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直角三角形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斜坡面长度45cm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斜坡宽度40cm</w:t>
            </w:r>
          </w:p>
          <w:p>
            <w:pPr>
              <w:adjustRightInd w:val="0"/>
              <w:snapToGrid w:val="0"/>
              <w:jc w:val="center"/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斜坡高度8cm</w:t>
            </w:r>
          </w:p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A、B两块板之间内空9cm</w:t>
            </w:r>
          </w:p>
        </w:tc>
        <w:tc>
          <w:tcPr>
            <w:tcW w:w="22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侧面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79525" cy="658495"/>
                  <wp:effectExtent l="0" t="0" r="15875" b="8255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标识图</w:t>
            </w:r>
          </w:p>
        </w:tc>
        <w:tc>
          <w:tcPr>
            <w:tcW w:w="26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50645" cy="1077595"/>
                  <wp:effectExtent l="0" t="0" r="1905" b="8255"/>
                  <wp:docPr id="7" name="图片 7" descr="斜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斜坡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l="50040" t="13186" r="-21" b="14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缓冲块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塑料杯</w:t>
            </w:r>
          </w:p>
        </w:tc>
        <w:tc>
          <w:tcPr>
            <w:tcW w:w="2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单个杯子高约14.5cm，重约20g</w:t>
            </w:r>
          </w:p>
          <w:p>
            <w:pPr>
              <w:adjustRightInd w:val="0"/>
              <w:snapToGrid w:val="0"/>
              <w:ind w:firstLine="315" w:firstLineChars="15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每叠4个杯子，共4叠并排播放</w:t>
            </w:r>
          </w:p>
        </w:tc>
        <w:tc>
          <w:tcPr>
            <w:tcW w:w="22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6350" cy="1266825"/>
                  <wp:effectExtent l="19050" t="0" r="0" b="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552575" cy="771525"/>
                  <wp:effectExtent l="19050" t="0" r="9525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adjustRightInd w:val="0"/>
        <w:snapToGrid w:val="0"/>
        <w:spacing w:before="0" w:after="0" w:line="360" w:lineRule="auto"/>
        <w:ind w:firstLine="480" w:firstLineChars="200"/>
        <w:rPr>
          <w:rFonts w:ascii="黑体" w:hAnsi="黑体" w:eastAsia="黑体" w:cs="黑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5.比赛流程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5.1入场：参赛队在赛前20分钟根据裁判和工作人员指挥，到达指定的搭建区域安静等待。</w:t>
      </w:r>
    </w:p>
    <w:p>
      <w:pPr>
        <w:adjustRightInd w:val="0"/>
        <w:snapToGrid w:val="0"/>
        <w:spacing w:line="360" w:lineRule="auto"/>
        <w:ind w:firstLine="442"/>
        <w:rPr>
          <w:rFonts w:ascii="宋体" w:hAnsi="宋体" w:cs="宋体"/>
          <w:b w:val="0"/>
          <w:bCs w:val="0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5.2检录：入场后，裁判对参赛器材按</w:t>
      </w: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第3.1规定进行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检录</w:t>
      </w: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14:textFill>
            <w14:solidFill>
              <w14:schemeClr w14:val="tx1"/>
            </w14:solidFill>
          </w14:textFill>
        </w:rPr>
        <w:t>参赛队除主办单位提供普通电机、电池盒和连接线等材料外，其他均需自行携带。每轮比赛完毕允许更换自带的电池。</w:t>
      </w:r>
    </w:p>
    <w:p>
      <w:pPr>
        <w:adjustRightInd w:val="0"/>
        <w:snapToGrid w:val="0"/>
        <w:spacing w:line="360" w:lineRule="auto"/>
        <w:ind w:firstLine="442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5.3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拼装调试：动力小车</w:t>
      </w:r>
      <w:r>
        <w:rPr>
          <w:rFonts w:hint="eastAsia"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搭建和调试时间共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60分钟</w:t>
      </w:r>
      <w:r>
        <w:rPr>
          <w:rFonts w:hint="eastAsia"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裁判长确认参赛队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已准备好后，将发出“5，4，3，2，1，开始”的倒计数启动口令</w:t>
      </w:r>
      <w:r>
        <w:rPr>
          <w:rFonts w:hint="eastAsia"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，参赛队开始在规定的场地进行搭建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。拼装调试时间结束后，将动力小车放置在裁判指定的地方封存，直至第一轮比赛前不得触碰和调整动力小车。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5.4赛前：按参赛编号进行比赛。第一轮比赛前，裁判长先确认“减速带”的铅笔摆放位置，然后参赛队从动力小车封存区拿取动力小车，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在裁判员或者工作人员的带领下进入比赛区开始比赛。每轮比赛须在120秒内完成，每轮比赛完毕，参赛队可拿取动力小车在各自的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搭建区进行调试，或更换自带的电池，直至叫号上场进行下一轮比赛。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每一轮比赛前，裁判员在60秒内连续叫号，参赛队仍未抵达比赛区的，视作弃权处理。在比赛区，参赛队需在60秒内启动动力小车开始比赛，否则该轮成绩为零。比赛前，2名参赛选手将自己的动力小车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放入起点区，动力小车的任何部分及其在地面的投影不能超出起点区。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5.5启动：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裁判员确认参赛队</w:t>
      </w:r>
      <w:r>
        <w:rPr>
          <w:rFonts w:hint="eastAsia" w:ascii="Arial" w:hAnsi="Arial" w:cs="Arial"/>
          <w:color w:val="000000" w:themeColor="text1"/>
          <w:sz w:val="24"/>
          <w14:textFill>
            <w14:solidFill>
              <w14:schemeClr w14:val="tx1"/>
            </w14:solidFill>
          </w14:textFill>
        </w:rPr>
        <w:t>已准备好后，将发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出“</w:t>
      </w:r>
      <w:r>
        <w:rPr>
          <w:rFonts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，开始”</w:t>
      </w:r>
      <w:r>
        <w:rPr>
          <w:rFonts w:hint="eastAsia" w:ascii="Arial" w:hAnsi="Arial" w:cs="Arial"/>
          <w:color w:val="000000" w:themeColor="text1"/>
          <w:sz w:val="24"/>
          <w14:textFill>
            <w14:solidFill>
              <w14:schemeClr w14:val="tx1"/>
            </w14:solidFill>
          </w14:textFill>
        </w:rPr>
        <w:t>的倒计数启动口令。随着倒计数的开始，队员可以用一只手慢慢靠近动力小车，听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到“开始”命令的第一个字，队员可以按下开关启动动力小车。在“开始”命令前启动动力小车将被视为“误启动”，比赛允许第一次的“误启动”，第二次再犯将扣5分，第三次再犯则该轮成绩记分为零。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5.6赛时：动力小车一旦启动，就只能受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自带动力的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控制，队员不得接触动力小车（改装区域和重试除外）。启动后的动力小车不能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分离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脱落零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部件，否则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扣10分，所分离脱落的零部件由裁判员即时清出场地。为了比赛策略需要，故意让零部件分离脱落的，属严重犯规行为，由裁判做出判决，扣10-20分乃至</w:t>
      </w:r>
      <w:r>
        <w:rPr>
          <w:rFonts w:hint="eastAsia" w:ascii="Arial" w:hAnsi="Arial" w:cs="Arial"/>
          <w:color w:val="000000" w:themeColor="text1"/>
          <w:sz w:val="24"/>
          <w14:textFill>
            <w14:solidFill>
              <w14:schemeClr w14:val="tx1"/>
            </w14:solidFill>
          </w14:textFill>
        </w:rPr>
        <w:t>该轮成绩记分为零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每轮比赛，参赛队均有3次重试机会。当启动动力小车后，在运行中如出现故障，或者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因速度过快完全越出场地边界，亦或完成任务不理想，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参赛选手可向裁判员申请重试。裁判员同意后，在场地状态保持不变的情况下，选手均可将动力小车搬回起点区或改装区重新启动。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重试时，参赛选手不得对动力小车进行调试。重试时间，裁判计时不停止（即不重新开始计时）。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动力小车在完成赛道1任务时重试的，赛道1所完成的任务无效，不记任务分值；在完成赛道2任务时重试的，赛道1所完成的任务成绩有效，而赛道2所完成的任务无效，不记任务分值；在完成赛道3任务时重试的，赛道1与赛道2所完成的任务成绩有效，而赛道3所完成的任务无效，不记任务分值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5.7动力小车改装：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当动力小车到达改装区时，选手可以手动将动力小车拿到改装区内关闭电源进行改装。改装时可增加或减少动力小车零部件，可以改变动力小车的结构，但不得更换马达和电池。动力小车改装所需的零部件由参赛队伍在比赛前放置在改装区内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参赛队改装动力小车的时间不限，但所耗费时间计入该轮120秒的比赛总时间之内。</w:t>
      </w:r>
    </w:p>
    <w:p>
      <w:pPr>
        <w:adjustRightInd w:val="0"/>
        <w:snapToGrid w:val="0"/>
        <w:spacing w:line="360" w:lineRule="auto"/>
        <w:ind w:firstLine="480"/>
        <w:rPr>
          <w:rFonts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5.8</w:t>
      </w:r>
      <w:r>
        <w:rPr>
          <w:rFonts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比赛结束：动力小车在120秒内，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动力小车任意部位与缓冲块触碰</w:t>
      </w:r>
      <w:r>
        <w:rPr>
          <w:rFonts w:hint="eastAsia" w:ascii="宋体" w:hAnsi="宋体" w:cs="Arial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，即视为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抵达终点区，完成比赛任务。</w:t>
      </w:r>
      <w:r>
        <w:rPr>
          <w:rFonts w:hint="eastAsia" w:ascii="宋体" w:hAnsi="宋体" w:cs="Courier New"/>
          <w:color w:val="000000" w:themeColor="text1"/>
          <w:sz w:val="24"/>
          <w14:textFill>
            <w14:solidFill>
              <w14:schemeClr w14:val="tx1"/>
            </w14:solidFill>
          </w14:textFill>
        </w:rPr>
        <w:t>裁判员吹响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终场</w:t>
      </w:r>
      <w:r>
        <w:rPr>
          <w:rFonts w:hint="eastAsia" w:ascii="宋体" w:hAnsi="宋体" w:cs="Courier New"/>
          <w:color w:val="000000" w:themeColor="text1"/>
          <w:sz w:val="24"/>
          <w14:textFill>
            <w14:solidFill>
              <w14:schemeClr w14:val="tx1"/>
            </w14:solidFill>
          </w14:textFill>
        </w:rPr>
        <w:t>哨音，参赛选手除应立即关断动力小车的电源外，不得与场上的动力小车或任何物品接触。其后，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裁判记录场上状态，填写记分表（任务得分、完成时间和扣分），选手立刻准备下一轮比赛。最后一轮比赛结束后，选手签名确认并将动力小车搬回搭建区。</w:t>
      </w:r>
    </w:p>
    <w:p>
      <w:pPr>
        <w:adjustRightInd w:val="0"/>
        <w:snapToGrid w:val="0"/>
        <w:spacing w:line="360" w:lineRule="auto"/>
        <w:rPr>
          <w:rFonts w:asci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当出现下列情况时视为比赛结束，裁判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以动力小车已完成的任务情况和扣分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进行计分，不记录完成时间。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（1）比赛时，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动力小车在赛场上停止运行超过30秒，或者在用完3次重试机会后，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动力小车因速度过快或其他原因完全越出场地边界，动力小车不能再回到场地上（</w:t>
      </w:r>
      <w:r>
        <w:rPr>
          <w:rFonts w:hint="eastAsia"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完成推动“巨石”任务除外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（2）比赛时间超过120秒。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（3）选手因故不准备继续比赛。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6.违规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6.1比赛开始后20分钟才前来参赛的，取消比赛资格。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Arial" w:hAnsi="Arial" w:cs="Arial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6.2比赛允许</w:t>
      </w:r>
      <w:r>
        <w:rPr>
          <w:rFonts w:hint="eastAsia" w:ascii="Arial" w:hAnsi="Arial" w:cs="Arial"/>
          <w:color w:val="000000" w:themeColor="text1"/>
          <w:sz w:val="24"/>
          <w14:textFill>
            <w14:solidFill>
              <w14:schemeClr w14:val="tx1"/>
            </w14:solidFill>
          </w14:textFill>
        </w:rPr>
        <w:t>第一次动力小车</w:t>
      </w: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Arial" w:hAnsi="Arial" w:cs="Arial"/>
          <w:color w:val="000000" w:themeColor="text1"/>
          <w:sz w:val="24"/>
          <w14:textFill>
            <w14:solidFill>
              <w14:schemeClr w14:val="tx1"/>
            </w14:solidFill>
          </w14:textFill>
        </w:rPr>
        <w:t>误启动”，第二次再犯将扣5分，第三次再犯则该轮成绩记分为零。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6.3</w:t>
      </w:r>
      <w:r>
        <w:rPr>
          <w:rFonts w:hint="eastAsia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辅导老师或家长存在口授选手影响比赛成绩的指引，或亲手参与搭建任务，</w:t>
      </w:r>
      <w:r>
        <w:rPr>
          <w:rFonts w:hint="eastAsia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亦或触碰、修复作品等行为的</w:t>
      </w:r>
      <w:r>
        <w:rPr>
          <w:rFonts w:hint="eastAsia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比赛成绩均为零。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6</w:t>
      </w:r>
      <w:r>
        <w:rPr>
          <w:rFonts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Courier New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比赛中（除改装区外），参赛选手如有接触赛场物品或动力小车的行为，第一次将受到警告，第二次再犯扣10分，第三次再犯该轮比赛成绩记分为零。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6.5参赛选手</w:t>
      </w: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不听从裁判员指令的，将视情况轻重，由裁判确定给予扣除10-20分，乃至取消比赛资格或成绩为零。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7.成绩评定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7.1参赛队每轮成绩总分=比赛任务分 + 时间奖励分 - 扣分。其中比赛任务分按下表标准计分；时间奖励分=120秒 - 实际完成任务时间，最高时间奖励分不得超过30分；扣分标准按照第5.5、5.6和6条规定执行。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7.2比赛不分初赛与复赛，每支参赛队至少进行2轮比赛。如2轮则累加2轮成绩为该参赛队的最后成绩，如3轮或以上则取最好</w:t>
      </w:r>
      <w:r>
        <w:rPr>
          <w:rFonts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轮成绩之和为该参赛队的最后成绩。最后成绩按照高低排序确定名次，</w:t>
      </w: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如两支参赛队最后成绩出现一样，则以2轮完成任务总时间最少者的先后顺序确定名次。</w:t>
      </w:r>
    </w:p>
    <w:tbl>
      <w:tblPr>
        <w:tblStyle w:val="7"/>
        <w:tblW w:w="707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5024"/>
        <w:gridCol w:w="1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BDD6EE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024" w:type="dxa"/>
            <w:shd w:val="clear" w:color="auto" w:fill="BDD6EE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任务得分点</w:t>
            </w:r>
          </w:p>
        </w:tc>
        <w:tc>
          <w:tcPr>
            <w:tcW w:w="1068" w:type="dxa"/>
            <w:shd w:val="clear" w:color="auto" w:fill="BDD6EE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1" w:name="_Hlk510645518"/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动力小车完全离开起点出发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成功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通过“圆坡”模型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成功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通过“龙门”模型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动力小车接触“巨石”道具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“巨石”道具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成功推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入改装区1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动力小车投影进入改装区1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改装环节不计分，但计入比赛用时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动力小车完全离开改装区1出发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  <w:jc w:val="center"/>
        </w:trPr>
        <w:tc>
          <w:tcPr>
            <w:tcW w:w="983" w:type="dxa"/>
            <w:shd w:val="clear" w:color="auto" w:fill="D7D7D7"/>
            <w:vAlign w:val="top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024" w:type="dxa"/>
            <w:vAlign w:val="top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进入草坪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成功通过草坪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动力小车投影进入改装区2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动力小车完全离开改装区2出发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成功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通过“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减速带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成功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登上第一个斜坡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成功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跨越“火山”模型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动力小车完全进入终点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83" w:type="dxa"/>
            <w:shd w:val="clear" w:color="auto" w:fill="D7D7D7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2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b w:val="0"/>
                <w:bCs w:val="0"/>
                <w:color w:val="auto"/>
                <w:szCs w:val="21"/>
                <w:lang w:val="en-US" w:eastAsia="zh-CN"/>
              </w:rPr>
              <w:t>100</w:t>
            </w:r>
          </w:p>
        </w:tc>
      </w:tr>
      <w:bookmarkEnd w:id="1"/>
    </w:tbl>
    <w:p>
      <w:pPr>
        <w:adjustRightInd w:val="0"/>
        <w:snapToGrid w:val="0"/>
        <w:spacing w:line="450" w:lineRule="exact"/>
        <w:ind w:firstLine="480" w:firstLineChars="200"/>
        <w:rPr>
          <w:rFonts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8.其它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8.1 本赛项的赛事组织和赛场执裁工作由裁判负责，设1名裁判长。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56" w:firstLineChars="190"/>
        <w:rPr>
          <w:rFonts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8.2 本规则是实施裁判工作的依据。裁判长对规则中未说明事项，以及有争议事项，均拥有最后解释权和最终裁定权。裁判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不复查重放的比赛录像，如有裁决异议，由参赛队的一名选手在赛场向裁判长提出。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56" w:firstLineChars="190"/>
        <w:jc w:val="left"/>
        <w:rPr>
          <w:rFonts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="宋体" w:hAnsi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hint="eastAsia" w:ascii="宋体" w:hAnsi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本规则由广东省青少年科技教育协会、广东省青少年科技中心制定解释。可登陆广东省青少年科技教育服务平台（www.gdkj.org.cn）或南粤科教（nykj6154）微信公众号查看下载。如对规则有意见建议，请发邮件至270852996@qq.com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456" w:firstLineChars="19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="宋体" w:hAnsi="宋体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本规则坚持青少年科技教育公益性和资源共建共享的原则，公开免费供下载使用，不作商业用途。在使用该规则开展活动时，注明规则来源，亦不得损害规则制定方的有关权益。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sG1iMZAgAAIQ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CrBtYjGQIAACE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A16EEE"/>
    <w:rsid w:val="000175CE"/>
    <w:rsid w:val="00075763"/>
    <w:rsid w:val="000C7F27"/>
    <w:rsid w:val="00115580"/>
    <w:rsid w:val="00261D76"/>
    <w:rsid w:val="00295521"/>
    <w:rsid w:val="002B0A9B"/>
    <w:rsid w:val="00315EEC"/>
    <w:rsid w:val="003B4B76"/>
    <w:rsid w:val="003F4773"/>
    <w:rsid w:val="00463486"/>
    <w:rsid w:val="0048075A"/>
    <w:rsid w:val="00491F44"/>
    <w:rsid w:val="004D0D98"/>
    <w:rsid w:val="0050104A"/>
    <w:rsid w:val="005566B6"/>
    <w:rsid w:val="00563E26"/>
    <w:rsid w:val="00665C10"/>
    <w:rsid w:val="006C5D81"/>
    <w:rsid w:val="007073ED"/>
    <w:rsid w:val="00766AF1"/>
    <w:rsid w:val="00781B81"/>
    <w:rsid w:val="008A7374"/>
    <w:rsid w:val="008B6AE3"/>
    <w:rsid w:val="00981E9F"/>
    <w:rsid w:val="00A2358E"/>
    <w:rsid w:val="00AA4A22"/>
    <w:rsid w:val="00BB2D62"/>
    <w:rsid w:val="00C07617"/>
    <w:rsid w:val="00C67A18"/>
    <w:rsid w:val="00D143B0"/>
    <w:rsid w:val="00D50A9C"/>
    <w:rsid w:val="00D61DB5"/>
    <w:rsid w:val="00D950AA"/>
    <w:rsid w:val="00DD1719"/>
    <w:rsid w:val="00E97870"/>
    <w:rsid w:val="00F35077"/>
    <w:rsid w:val="00F84BD1"/>
    <w:rsid w:val="00FE2246"/>
    <w:rsid w:val="01CD6634"/>
    <w:rsid w:val="053A23DE"/>
    <w:rsid w:val="064C3455"/>
    <w:rsid w:val="0AF01099"/>
    <w:rsid w:val="0B5E7057"/>
    <w:rsid w:val="0B645ACB"/>
    <w:rsid w:val="0BA9663D"/>
    <w:rsid w:val="0CAB5CF0"/>
    <w:rsid w:val="0D3A05D3"/>
    <w:rsid w:val="0D45410F"/>
    <w:rsid w:val="0D7D15EE"/>
    <w:rsid w:val="0F033CBC"/>
    <w:rsid w:val="106256AC"/>
    <w:rsid w:val="10CD5A12"/>
    <w:rsid w:val="119C4EDD"/>
    <w:rsid w:val="11B051FD"/>
    <w:rsid w:val="12A15B51"/>
    <w:rsid w:val="159537D3"/>
    <w:rsid w:val="17447B45"/>
    <w:rsid w:val="18803917"/>
    <w:rsid w:val="188F17A7"/>
    <w:rsid w:val="1AED4F16"/>
    <w:rsid w:val="1F7F669D"/>
    <w:rsid w:val="221618C7"/>
    <w:rsid w:val="22CC3596"/>
    <w:rsid w:val="23485C1F"/>
    <w:rsid w:val="24A67EC6"/>
    <w:rsid w:val="250B3A97"/>
    <w:rsid w:val="27020D92"/>
    <w:rsid w:val="27F32C30"/>
    <w:rsid w:val="287654DA"/>
    <w:rsid w:val="293F7F12"/>
    <w:rsid w:val="2C064AA3"/>
    <w:rsid w:val="2CBB3037"/>
    <w:rsid w:val="2F4D41DB"/>
    <w:rsid w:val="2F686275"/>
    <w:rsid w:val="32E37B19"/>
    <w:rsid w:val="33D32689"/>
    <w:rsid w:val="34C0686C"/>
    <w:rsid w:val="35DB425A"/>
    <w:rsid w:val="376F7476"/>
    <w:rsid w:val="38991268"/>
    <w:rsid w:val="3939656C"/>
    <w:rsid w:val="3A8A0C4B"/>
    <w:rsid w:val="3B50714C"/>
    <w:rsid w:val="3BBA6087"/>
    <w:rsid w:val="3BDA76B0"/>
    <w:rsid w:val="3C8B1153"/>
    <w:rsid w:val="3C950B6C"/>
    <w:rsid w:val="3CDA5C1F"/>
    <w:rsid w:val="3E616B4B"/>
    <w:rsid w:val="3F1A016B"/>
    <w:rsid w:val="3FD24311"/>
    <w:rsid w:val="40AF1F48"/>
    <w:rsid w:val="426F7123"/>
    <w:rsid w:val="43C36BDD"/>
    <w:rsid w:val="4434267F"/>
    <w:rsid w:val="446B268E"/>
    <w:rsid w:val="45EF5BF1"/>
    <w:rsid w:val="47E20A97"/>
    <w:rsid w:val="4A5B5E23"/>
    <w:rsid w:val="4A794EA5"/>
    <w:rsid w:val="4C3F5DEA"/>
    <w:rsid w:val="4C9547BE"/>
    <w:rsid w:val="4CD46660"/>
    <w:rsid w:val="4D4C48AB"/>
    <w:rsid w:val="4D922E0D"/>
    <w:rsid w:val="4E112EE7"/>
    <w:rsid w:val="4E563505"/>
    <w:rsid w:val="4ECE1428"/>
    <w:rsid w:val="5098220C"/>
    <w:rsid w:val="52407B3A"/>
    <w:rsid w:val="56541505"/>
    <w:rsid w:val="566E1B4E"/>
    <w:rsid w:val="56A16EEE"/>
    <w:rsid w:val="58086EF3"/>
    <w:rsid w:val="587C45E5"/>
    <w:rsid w:val="59E46AB7"/>
    <w:rsid w:val="5A74119D"/>
    <w:rsid w:val="5ADF7EED"/>
    <w:rsid w:val="5B346487"/>
    <w:rsid w:val="5B8E344F"/>
    <w:rsid w:val="5B9511E6"/>
    <w:rsid w:val="5EC50D4F"/>
    <w:rsid w:val="5F6E7E7B"/>
    <w:rsid w:val="6185066C"/>
    <w:rsid w:val="61D00B85"/>
    <w:rsid w:val="62610D3E"/>
    <w:rsid w:val="62B116D4"/>
    <w:rsid w:val="64B11174"/>
    <w:rsid w:val="64BD48EF"/>
    <w:rsid w:val="656E1838"/>
    <w:rsid w:val="65787939"/>
    <w:rsid w:val="65D01956"/>
    <w:rsid w:val="67B0775A"/>
    <w:rsid w:val="69407064"/>
    <w:rsid w:val="6D1A0F97"/>
    <w:rsid w:val="6DF3505F"/>
    <w:rsid w:val="6E706B95"/>
    <w:rsid w:val="70300FBE"/>
    <w:rsid w:val="745A65A1"/>
    <w:rsid w:val="74BD16FE"/>
    <w:rsid w:val="76DE1A2D"/>
    <w:rsid w:val="76F44DFB"/>
    <w:rsid w:val="7B890C68"/>
    <w:rsid w:val="7CF03B77"/>
    <w:rsid w:val="7D7D374C"/>
    <w:rsid w:val="7EB76215"/>
    <w:rsid w:val="7F681FE8"/>
    <w:rsid w:val="7FB62414"/>
    <w:rsid w:val="7FD91906"/>
    <w:rsid w:val="7FE5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3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834</Words>
  <Characters>4758</Characters>
  <Lines>39</Lines>
  <Paragraphs>11</Paragraphs>
  <TotalTime>37</TotalTime>
  <ScaleCrop>false</ScaleCrop>
  <LinksUpToDate>false</LinksUpToDate>
  <CharactersWithSpaces>5581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2018-04-03T06:48:00Z</dcterms:created>
  <dc:creator>Administrator</dc:creator>
  <cp:lastModifiedBy>Denise</cp:lastModifiedBy>
  <dcterms:modified xsi:type="dcterms:W3CDTF">2019-02-27T07:22:08Z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